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B5" w:rsidRPr="00B766B5" w:rsidRDefault="00B766B5" w:rsidP="00B766B5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</w:rPr>
      </w:pPr>
      <w:r w:rsidRPr="00B766B5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ОБРАЗАЦ ТРОШКОВА ПРИПРЕМЕ ПОНУДЕ</w:t>
      </w:r>
    </w:p>
    <w:p w:rsidR="00B766B5" w:rsidRDefault="00B766B5" w:rsidP="009D0E52">
      <w:pPr>
        <w:keepLines/>
        <w:tabs>
          <w:tab w:val="left" w:pos="-2977"/>
          <w:tab w:val="right" w:pos="4820"/>
        </w:tabs>
        <w:spacing w:before="60" w:line="240" w:lineRule="auto"/>
        <w:jc w:val="both"/>
        <w:rPr>
          <w:rFonts w:eastAsia="Times New Roman"/>
          <w:b/>
          <w:bCs/>
          <w:noProof/>
          <w:sz w:val="28"/>
          <w:szCs w:val="20"/>
          <w:lang w:val="sr-Cyrl-RS"/>
        </w:rPr>
      </w:pPr>
    </w:p>
    <w:p w:rsidR="009D0E52" w:rsidRPr="00787222" w:rsidRDefault="009D0E52" w:rsidP="007A05F4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color w:val="FF0000"/>
          <w:sz w:val="28"/>
          <w:szCs w:val="20"/>
          <w:lang w:val="sr-Cyrl-RS"/>
        </w:rPr>
      </w:pPr>
      <w:r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Назив јавне набавке: </w:t>
      </w:r>
      <w:r w:rsidR="00BC3514" w:rsidRPr="00BC3514">
        <w:rPr>
          <w:rFonts w:eastAsia="Times New Roman"/>
          <w:b/>
          <w:bCs/>
          <w:noProof/>
          <w:sz w:val="28"/>
          <w:szCs w:val="20"/>
          <w:lang w:val="sr-Cyrl-RS"/>
        </w:rPr>
        <w:t>Услуге информисања јавности – промоције за „Пилот пројекат раног откривања рака плућа на територији АП Војводине” – према спецификацији услуга</w:t>
      </w:r>
      <w:r w:rsidR="008A3F03">
        <w:rPr>
          <w:rFonts w:eastAsia="Times New Roman"/>
          <w:b/>
          <w:bCs/>
          <w:noProof/>
          <w:sz w:val="28"/>
          <w:szCs w:val="20"/>
          <w:lang w:val="sr-Cyrl-RS"/>
        </w:rPr>
        <w:t xml:space="preserve">, </w:t>
      </w:r>
      <w:r w:rsidR="007A05F4" w:rsidRPr="000B2875">
        <w:rPr>
          <w:rFonts w:eastAsia="Times New Roman"/>
          <w:b/>
          <w:bCs/>
          <w:noProof/>
          <w:sz w:val="28"/>
          <w:szCs w:val="20"/>
          <w:lang w:val="sr-Cyrl-RS"/>
        </w:rPr>
        <w:t>138-404-</w:t>
      </w:r>
      <w:r w:rsidR="00BC3514">
        <w:rPr>
          <w:rFonts w:eastAsia="Times New Roman"/>
          <w:b/>
          <w:bCs/>
          <w:noProof/>
          <w:sz w:val="28"/>
          <w:szCs w:val="20"/>
          <w:lang w:val="sr-Cyrl-RS"/>
        </w:rPr>
        <w:t>185</w:t>
      </w:r>
      <w:r w:rsidR="000B2875" w:rsidRPr="000B2875">
        <w:rPr>
          <w:rFonts w:eastAsia="Times New Roman"/>
          <w:b/>
          <w:bCs/>
          <w:noProof/>
          <w:sz w:val="28"/>
          <w:szCs w:val="20"/>
          <w:lang w:val="sr-Cyrl-RS"/>
        </w:rPr>
        <w:t>/2021</w:t>
      </w:r>
      <w:r w:rsidR="00787222"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, </w:t>
      </w:r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>ЈН-</w:t>
      </w:r>
      <w:r w:rsidR="00BC3514">
        <w:rPr>
          <w:rFonts w:eastAsia="Times New Roman"/>
          <w:b/>
          <w:bCs/>
          <w:noProof/>
          <w:sz w:val="28"/>
          <w:szCs w:val="20"/>
          <w:lang w:val="sr-Cyrl-RS"/>
        </w:rPr>
        <w:t>6</w:t>
      </w:r>
      <w:bookmarkStart w:id="0" w:name="_GoBack"/>
      <w:bookmarkEnd w:id="0"/>
      <w:r w:rsidR="00BD36E8" w:rsidRPr="000B2875">
        <w:rPr>
          <w:rFonts w:eastAsia="Times New Roman"/>
          <w:b/>
          <w:bCs/>
          <w:noProof/>
          <w:sz w:val="28"/>
          <w:szCs w:val="20"/>
          <w:lang w:val="sr-Cyrl-RS"/>
        </w:rPr>
        <w:t>/2021</w:t>
      </w:r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>-О</w:t>
      </w:r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ab/>
      </w:r>
      <w:r w:rsidR="00623C7E">
        <w:rPr>
          <w:rFonts w:eastAsia="Times New Roman"/>
          <w:b/>
          <w:bCs/>
          <w:noProof/>
          <w:sz w:val="28"/>
          <w:szCs w:val="20"/>
          <w:lang w:val="sr-Cyrl-RS"/>
        </w:rPr>
        <w:tab/>
      </w:r>
      <w:r w:rsidRPr="009D0E52">
        <w:rPr>
          <w:rFonts w:eastAsia="Times New Roman"/>
          <w:b/>
          <w:bCs/>
          <w:noProof/>
          <w:sz w:val="28"/>
          <w:szCs w:val="20"/>
          <w:lang w:val="sr-Cyrl-RS"/>
        </w:rPr>
        <w:tab/>
      </w:r>
    </w:p>
    <w:p w:rsidR="00787222" w:rsidRPr="00623C7E" w:rsidRDefault="009D0E52" w:rsidP="007A05F4">
      <w:pPr>
        <w:keepLines/>
        <w:tabs>
          <w:tab w:val="left" w:pos="-2977"/>
          <w:tab w:val="right" w:pos="2430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9D0E52">
        <w:rPr>
          <w:rFonts w:eastAsia="Times New Roman"/>
          <w:b/>
          <w:bCs/>
          <w:noProof/>
          <w:sz w:val="28"/>
          <w:szCs w:val="20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58"/>
      </w:tblGrid>
      <w:tr w:rsidR="00787222" w:rsidRPr="00787222" w:rsidTr="00787222">
        <w:tc>
          <w:tcPr>
            <w:tcW w:w="2337" w:type="dxa"/>
          </w:tcPr>
          <w:p w:rsidR="00787222" w:rsidRPr="00787222" w:rsidRDefault="00787222" w:rsidP="009E4B45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Општи подаци о Понуђачу</w:t>
            </w:r>
          </w:p>
        </w:tc>
        <w:tc>
          <w:tcPr>
            <w:tcW w:w="6658" w:type="dxa"/>
          </w:tcPr>
          <w:p w:rsidR="00787222" w:rsidRPr="00787222" w:rsidRDefault="00787222" w:rsidP="009E4B45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787222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Назив и седиште:</w:t>
            </w:r>
          </w:p>
        </w:tc>
        <w:tc>
          <w:tcPr>
            <w:tcW w:w="6658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787222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Матични број:</w:t>
            </w:r>
          </w:p>
        </w:tc>
        <w:tc>
          <w:tcPr>
            <w:tcW w:w="6658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623C7E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ПИБ :</w:t>
            </w:r>
          </w:p>
        </w:tc>
        <w:tc>
          <w:tcPr>
            <w:tcW w:w="6658" w:type="dxa"/>
          </w:tcPr>
          <w:p w:rsidR="00787222" w:rsidRPr="00623C7E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</w:tbl>
    <w:p w:rsidR="00623C7E" w:rsidRPr="00623C7E" w:rsidRDefault="00623C7E" w:rsidP="007A05F4">
      <w:pPr>
        <w:keepLines/>
        <w:tabs>
          <w:tab w:val="left" w:pos="-2977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</w:p>
    <w:p w:rsidR="00BB675E" w:rsidRPr="00B766B5" w:rsidRDefault="00623C7E" w:rsidP="00B766B5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623C7E">
        <w:rPr>
          <w:rFonts w:eastAsia="Times New Roman"/>
          <w:b/>
          <w:bCs/>
          <w:noProof/>
          <w:lang w:val="sr-Cyrl-RS"/>
        </w:rPr>
        <w:tab/>
      </w:r>
    </w:p>
    <w:p w:rsidR="00BB675E" w:rsidRPr="00AE1BEF" w:rsidRDefault="00BB675E" w:rsidP="00B766B5">
      <w:pPr>
        <w:spacing w:after="120"/>
        <w:ind w:firstLine="720"/>
        <w:jc w:val="both"/>
        <w:rPr>
          <w:b/>
          <w:i/>
        </w:rPr>
      </w:pPr>
      <w:r w:rsidRPr="00AE1BEF">
        <w:t xml:space="preserve">У </w:t>
      </w:r>
      <w:proofErr w:type="spellStart"/>
      <w:r w:rsidRPr="00AE1BEF">
        <w:t>складу</w:t>
      </w:r>
      <w:proofErr w:type="spellEnd"/>
      <w:r w:rsidRPr="00AE1BEF">
        <w:t xml:space="preserve"> </w:t>
      </w:r>
      <w:proofErr w:type="spellStart"/>
      <w:r w:rsidRPr="00AE1BEF">
        <w:t>са</w:t>
      </w:r>
      <w:proofErr w:type="spellEnd"/>
      <w:r w:rsidRPr="00AE1BEF">
        <w:t xml:space="preserve"> </w:t>
      </w:r>
      <w:proofErr w:type="spellStart"/>
      <w:r w:rsidRPr="00AE1BEF">
        <w:t>чланом</w:t>
      </w:r>
      <w:proofErr w:type="spellEnd"/>
      <w:r w:rsidRPr="00AE1BEF">
        <w:t xml:space="preserve"> </w:t>
      </w:r>
      <w:r w:rsidR="003F636D">
        <w:rPr>
          <w:lang w:val="sr-Cyrl-RS"/>
        </w:rPr>
        <w:t>138.</w:t>
      </w:r>
      <w:r w:rsidRPr="00AE1BEF">
        <w:t xml:space="preserve"> ЗЈН, </w:t>
      </w:r>
      <w:r>
        <w:rPr>
          <w:lang w:val="sr-Cyrl-RS"/>
        </w:rPr>
        <w:t xml:space="preserve">и члана </w:t>
      </w:r>
      <w:r w:rsidR="00F36B49">
        <w:rPr>
          <w:lang w:val="sr-Cyrl-RS"/>
        </w:rPr>
        <w:t>2. став 1</w:t>
      </w:r>
      <w:r>
        <w:rPr>
          <w:lang w:val="sr-Cyrl-RS"/>
        </w:rPr>
        <w:t>.</w:t>
      </w:r>
      <w:r w:rsidR="00F36B49">
        <w:rPr>
          <w:lang w:val="sr-Cyrl-RS"/>
        </w:rPr>
        <w:t xml:space="preserve"> тач. 6)</w:t>
      </w:r>
      <w:r>
        <w:rPr>
          <w:lang w:val="sr-Cyrl-RS"/>
        </w:rPr>
        <w:t xml:space="preserve"> Правилника о садржини конкурсне документације у поступцима јавних набавки, </w:t>
      </w:r>
      <w:proofErr w:type="spellStart"/>
      <w:r w:rsidRPr="00AE1BEF">
        <w:t>понуђач</w:t>
      </w:r>
      <w:proofErr w:type="spellEnd"/>
      <w:r w:rsidRPr="00AE1BEF">
        <w:rPr>
          <w:lang w:val="sr-Cyrl-RS"/>
        </w:rPr>
        <w:t xml:space="preserve"> ____________________________________ </w:t>
      </w:r>
      <w:r w:rsidRPr="00AE1BEF">
        <w:rPr>
          <w:i/>
          <w:lang w:val="ru-RU"/>
        </w:rPr>
        <w:t>[</w:t>
      </w:r>
      <w:proofErr w:type="spellStart"/>
      <w:r w:rsidRPr="00AE1BEF">
        <w:rPr>
          <w:i/>
          <w:iCs/>
        </w:rPr>
        <w:t>навести</w:t>
      </w:r>
      <w:proofErr w:type="spellEnd"/>
      <w:r w:rsidRPr="00AE1BEF">
        <w:rPr>
          <w:i/>
          <w:iCs/>
        </w:rPr>
        <w:t xml:space="preserve"> </w:t>
      </w:r>
      <w:r w:rsidRPr="00AE1BEF">
        <w:rPr>
          <w:i/>
          <w:iCs/>
          <w:lang w:val="sr-Cyrl-CS"/>
        </w:rPr>
        <w:t>назив понуђача</w:t>
      </w:r>
      <w:r w:rsidRPr="00AE1BEF">
        <w:rPr>
          <w:i/>
          <w:iCs/>
        </w:rPr>
        <w:t xml:space="preserve">], </w:t>
      </w:r>
      <w:proofErr w:type="spellStart"/>
      <w:r w:rsidRPr="00AE1BEF">
        <w:t>достав</w:t>
      </w:r>
      <w:proofErr w:type="spellEnd"/>
      <w:r w:rsidRPr="00AE1BEF">
        <w:rPr>
          <w:lang w:val="sr-Cyrl-CS"/>
        </w:rPr>
        <w:t xml:space="preserve">ља </w:t>
      </w:r>
      <w:proofErr w:type="spellStart"/>
      <w:r w:rsidRPr="00AE1BEF">
        <w:t>укупан</w:t>
      </w:r>
      <w:proofErr w:type="spellEnd"/>
      <w:r w:rsidRPr="00AE1BEF">
        <w:t xml:space="preserve"> </w:t>
      </w:r>
      <w:proofErr w:type="spellStart"/>
      <w:r w:rsidRPr="00AE1BEF">
        <w:t>износ</w:t>
      </w:r>
      <w:proofErr w:type="spellEnd"/>
      <w:r w:rsidRPr="00AE1BEF">
        <w:t xml:space="preserve"> и </w:t>
      </w:r>
      <w:proofErr w:type="spellStart"/>
      <w:r w:rsidRPr="00AE1BEF">
        <w:t>структуру</w:t>
      </w:r>
      <w:proofErr w:type="spellEnd"/>
      <w:r w:rsidRPr="00AE1BEF">
        <w:t xml:space="preserve"> </w:t>
      </w:r>
      <w:proofErr w:type="spellStart"/>
      <w:r w:rsidRPr="00AE1BEF">
        <w:t>трошкова</w:t>
      </w:r>
      <w:proofErr w:type="spellEnd"/>
      <w:r w:rsidRPr="00AE1BEF">
        <w:t xml:space="preserve"> </w:t>
      </w:r>
      <w:proofErr w:type="spellStart"/>
      <w:r w:rsidRPr="00AE1BEF">
        <w:t>припремања</w:t>
      </w:r>
      <w:proofErr w:type="spellEnd"/>
      <w:r w:rsidRPr="00AE1BEF">
        <w:t xml:space="preserve"> </w:t>
      </w:r>
      <w:proofErr w:type="spellStart"/>
      <w:r w:rsidRPr="00AE1BEF">
        <w:t>понуде</w:t>
      </w:r>
      <w:proofErr w:type="spellEnd"/>
      <w:r w:rsidRPr="00AE1BEF">
        <w:t xml:space="preserve">, </w:t>
      </w:r>
      <w:r w:rsidRPr="00AE1BEF">
        <w:rPr>
          <w:lang w:val="sr-Cyrl-CS"/>
        </w:rPr>
        <w:t xml:space="preserve">како следи у </w:t>
      </w:r>
      <w:proofErr w:type="spellStart"/>
      <w:r w:rsidRPr="00AE1BEF">
        <w:t>табели</w:t>
      </w:r>
      <w:proofErr w:type="spellEnd"/>
      <w:r w:rsidRPr="00AE1BEF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1"/>
        <w:gridCol w:w="2459"/>
      </w:tblGrid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jc w:val="center"/>
              <w:rPr>
                <w:b/>
                <w:i/>
                <w:sz w:val="20"/>
                <w:szCs w:val="20"/>
              </w:rPr>
            </w:pPr>
            <w:r w:rsidRPr="00AE1BEF">
              <w:rPr>
                <w:b/>
                <w:i/>
                <w:sz w:val="20"/>
                <w:szCs w:val="20"/>
              </w:rPr>
              <w:t>ВРСТА ТРОШКА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jc w:val="center"/>
              <w:rPr>
                <w:sz w:val="20"/>
                <w:szCs w:val="20"/>
              </w:rPr>
            </w:pPr>
            <w:r w:rsidRPr="00AE1BEF">
              <w:rPr>
                <w:b/>
                <w:i/>
                <w:sz w:val="20"/>
                <w:szCs w:val="20"/>
              </w:rPr>
              <w:t>ИЗНОС ТРОШКА У РСД</w:t>
            </w: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BB675E" w:rsidRPr="00AE1BEF" w:rsidRDefault="00BB675E" w:rsidP="002560DF">
            <w:pPr>
              <w:jc w:val="both"/>
              <w:rPr>
                <w:sz w:val="20"/>
                <w:szCs w:val="20"/>
                <w:lang w:val="ru-RU"/>
              </w:rPr>
            </w:pPr>
            <w:r w:rsidRPr="00AE1BEF">
              <w:rPr>
                <w:b/>
                <w:i/>
                <w:sz w:val="20"/>
                <w:szCs w:val="20"/>
              </w:rPr>
              <w:t>УКУПАН ИЗНОС ТРОШКОВА ПРИП</w:t>
            </w:r>
            <w:r w:rsidRPr="00AE1BEF">
              <w:rPr>
                <w:b/>
                <w:i/>
                <w:sz w:val="20"/>
                <w:szCs w:val="20"/>
                <w:lang w:val="sr-Cyrl-RS"/>
              </w:rPr>
              <w:t>Р</w:t>
            </w:r>
            <w:r w:rsidRPr="00AE1BEF">
              <w:rPr>
                <w:b/>
                <w:i/>
                <w:sz w:val="20"/>
                <w:szCs w:val="20"/>
              </w:rPr>
              <w:t>ЕМАЊА ПОНУДЕ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BB675E" w:rsidRPr="00AE1BEF" w:rsidRDefault="00BB675E" w:rsidP="00BB675E">
      <w:pPr>
        <w:jc w:val="both"/>
      </w:pPr>
    </w:p>
    <w:p w:rsidR="003F636D" w:rsidRDefault="003F636D" w:rsidP="003F636D">
      <w:pPr>
        <w:spacing w:after="120"/>
        <w:jc w:val="both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припремања</w:t>
      </w:r>
      <w:proofErr w:type="spellEnd"/>
      <w:r>
        <w:t xml:space="preserve"> и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>.</w:t>
      </w:r>
    </w:p>
    <w:p w:rsidR="003F636D" w:rsidRDefault="003F636D" w:rsidP="003F636D">
      <w:pPr>
        <w:spacing w:after="120"/>
        <w:jc w:val="both"/>
      </w:pPr>
      <w:proofErr w:type="spellStart"/>
      <w:r>
        <w:t>Изузетно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обустављен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узорка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израђени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тражио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>.</w:t>
      </w:r>
    </w:p>
    <w:p w:rsidR="00586674" w:rsidRDefault="00BC3514" w:rsidP="00BB675E"/>
    <w:sectPr w:rsidR="0058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E"/>
    <w:rsid w:val="000B2875"/>
    <w:rsid w:val="001757F3"/>
    <w:rsid w:val="003F636D"/>
    <w:rsid w:val="005D070A"/>
    <w:rsid w:val="005D27DE"/>
    <w:rsid w:val="00623C7E"/>
    <w:rsid w:val="006C7545"/>
    <w:rsid w:val="00771933"/>
    <w:rsid w:val="00787222"/>
    <w:rsid w:val="007A05F4"/>
    <w:rsid w:val="00801081"/>
    <w:rsid w:val="008846F2"/>
    <w:rsid w:val="008A3F03"/>
    <w:rsid w:val="00930821"/>
    <w:rsid w:val="009D0E52"/>
    <w:rsid w:val="00A81BFE"/>
    <w:rsid w:val="00B766B5"/>
    <w:rsid w:val="00BB675E"/>
    <w:rsid w:val="00BC3514"/>
    <w:rsid w:val="00BD36E8"/>
    <w:rsid w:val="00EF2046"/>
    <w:rsid w:val="00F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2EE1"/>
  <w15:chartTrackingRefBased/>
  <w15:docId w15:val="{FB8E2F7C-11D8-4F0C-8989-6865160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BB6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75E"/>
  </w:style>
  <w:style w:type="table" w:styleId="TableGrid">
    <w:name w:val="Table Grid"/>
    <w:basedOn w:val="TableNormal"/>
    <w:uiPriority w:val="39"/>
    <w:rsid w:val="0078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13</cp:revision>
  <dcterms:created xsi:type="dcterms:W3CDTF">2020-10-07T08:59:00Z</dcterms:created>
  <dcterms:modified xsi:type="dcterms:W3CDTF">2021-06-24T09:46:00Z</dcterms:modified>
</cp:coreProperties>
</file>